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44CF7" w14:textId="77777777" w:rsidR="00E40FB1" w:rsidRPr="00E40FB1" w:rsidRDefault="00E40FB1" w:rsidP="00E40FB1">
      <w:pPr>
        <w:shd w:val="clear" w:color="auto" w:fill="E0DDE0"/>
        <w:spacing w:before="225" w:after="30" w:line="240" w:lineRule="auto"/>
        <w:textAlignment w:val="baseline"/>
        <w:outlineLvl w:val="1"/>
        <w:rPr>
          <w:rFonts w:ascii="Titillium Web" w:eastAsia="Times New Roman" w:hAnsi="Titillium Web" w:cs="Times New Roman"/>
          <w:color w:val="333333"/>
          <w:sz w:val="40"/>
          <w:szCs w:val="40"/>
          <w:lang w:eastAsia="en-GB"/>
        </w:rPr>
      </w:pPr>
      <w:r w:rsidRPr="00E40FB1">
        <w:rPr>
          <w:rFonts w:ascii="Titillium Web" w:eastAsia="Times New Roman" w:hAnsi="Titillium Web" w:cs="Times New Roman"/>
          <w:color w:val="333333"/>
          <w:sz w:val="40"/>
          <w:szCs w:val="40"/>
          <w:lang w:eastAsia="en-GB"/>
        </w:rPr>
        <w:t>Objectives a</w:t>
      </w:r>
      <w:bookmarkStart w:id="0" w:name="_GoBack"/>
      <w:bookmarkEnd w:id="0"/>
      <w:r w:rsidRPr="00E40FB1">
        <w:rPr>
          <w:rFonts w:ascii="Titillium Web" w:eastAsia="Times New Roman" w:hAnsi="Titillium Web" w:cs="Times New Roman"/>
          <w:color w:val="333333"/>
          <w:sz w:val="40"/>
          <w:szCs w:val="40"/>
          <w:lang w:eastAsia="en-GB"/>
        </w:rPr>
        <w:t>nd Principles of the Path (</w:t>
      </w:r>
      <w:proofErr w:type="spellStart"/>
      <w:r w:rsidRPr="00E40FB1">
        <w:rPr>
          <w:rFonts w:ascii="Titillium Web" w:eastAsia="Times New Roman" w:hAnsi="Titillium Web" w:cs="Times New Roman"/>
          <w:color w:val="333333"/>
          <w:sz w:val="40"/>
          <w:szCs w:val="40"/>
          <w:lang w:eastAsia="en-GB"/>
        </w:rPr>
        <w:t>Tareeqah</w:t>
      </w:r>
      <w:proofErr w:type="spellEnd"/>
      <w:r w:rsidRPr="00E40FB1">
        <w:rPr>
          <w:rFonts w:ascii="Titillium Web" w:eastAsia="Times New Roman" w:hAnsi="Titillium Web" w:cs="Times New Roman"/>
          <w:color w:val="333333"/>
          <w:sz w:val="40"/>
          <w:szCs w:val="40"/>
          <w:lang w:eastAsia="en-GB"/>
        </w:rPr>
        <w:t>) to self-purification and excellence in worshipful obedience of Allah, the Exalted (Al-</w:t>
      </w:r>
      <w:proofErr w:type="spellStart"/>
      <w:r w:rsidRPr="00E40FB1">
        <w:rPr>
          <w:rFonts w:ascii="Titillium Web" w:eastAsia="Times New Roman" w:hAnsi="Titillium Web" w:cs="Times New Roman"/>
          <w:color w:val="333333"/>
          <w:sz w:val="40"/>
          <w:szCs w:val="40"/>
          <w:lang w:eastAsia="en-GB"/>
        </w:rPr>
        <w:t>Ihsaan</w:t>
      </w:r>
      <w:proofErr w:type="spellEnd"/>
      <w:r w:rsidRPr="00E40FB1">
        <w:rPr>
          <w:rFonts w:ascii="Titillium Web" w:eastAsia="Times New Roman" w:hAnsi="Titillium Web" w:cs="Times New Roman"/>
          <w:color w:val="333333"/>
          <w:sz w:val="40"/>
          <w:szCs w:val="40"/>
          <w:lang w:eastAsia="en-GB"/>
        </w:rPr>
        <w:t>-fi-</w:t>
      </w:r>
      <w:proofErr w:type="spellStart"/>
      <w:r w:rsidRPr="00E40FB1">
        <w:rPr>
          <w:rFonts w:ascii="Titillium Web" w:eastAsia="Times New Roman" w:hAnsi="Titillium Web" w:cs="Times New Roman"/>
          <w:color w:val="333333"/>
          <w:sz w:val="40"/>
          <w:szCs w:val="40"/>
          <w:lang w:eastAsia="en-GB"/>
        </w:rPr>
        <w:t>Uboodiyah</w:t>
      </w:r>
      <w:proofErr w:type="spellEnd"/>
      <w:r w:rsidRPr="00E40FB1">
        <w:rPr>
          <w:rFonts w:ascii="Titillium Web" w:eastAsia="Times New Roman" w:hAnsi="Titillium Web" w:cs="Times New Roman"/>
          <w:color w:val="333333"/>
          <w:sz w:val="40"/>
          <w:szCs w:val="40"/>
          <w:lang w:eastAsia="en-GB"/>
        </w:rPr>
        <w:t>)</w:t>
      </w:r>
    </w:p>
    <w:p w14:paraId="1D796DCF" w14:textId="77777777" w:rsidR="00E40FB1" w:rsidRPr="00E40FB1" w:rsidRDefault="00E40FB1" w:rsidP="00E40FB1">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E40FB1">
        <w:rPr>
          <w:rFonts w:ascii="Titillium Web" w:eastAsia="Times New Roman" w:hAnsi="Titillium Web" w:cs="Times New Roman"/>
          <w:color w:val="333333"/>
          <w:sz w:val="21"/>
          <w:szCs w:val="21"/>
          <w:lang w:eastAsia="en-GB"/>
        </w:rPr>
        <w:t xml:space="preserve">The combined teachings and injunctions of Islam are known as the </w:t>
      </w:r>
      <w:proofErr w:type="spellStart"/>
      <w:r w:rsidRPr="00E40FB1">
        <w:rPr>
          <w:rFonts w:ascii="Titillium Web" w:eastAsia="Times New Roman" w:hAnsi="Titillium Web" w:cs="Times New Roman"/>
          <w:color w:val="333333"/>
          <w:sz w:val="21"/>
          <w:szCs w:val="21"/>
          <w:lang w:eastAsia="en-GB"/>
        </w:rPr>
        <w:t>Shari’a</w:t>
      </w:r>
      <w:proofErr w:type="spellEnd"/>
      <w:r w:rsidRPr="00E40FB1">
        <w:rPr>
          <w:rFonts w:ascii="Titillium Web" w:eastAsia="Times New Roman" w:hAnsi="Titillium Web" w:cs="Times New Roman"/>
          <w:color w:val="333333"/>
          <w:sz w:val="21"/>
          <w:szCs w:val="21"/>
          <w:lang w:eastAsia="en-GB"/>
        </w:rPr>
        <w:t xml:space="preserve">. Both sets of acts – exoteric (commands and prohibitions related to the body) and esoteric (commands and prohibitions related to the heart, mind and inner self) are included. In the terminology of the early authorities of </w:t>
      </w:r>
      <w:proofErr w:type="spellStart"/>
      <w:r w:rsidRPr="00E40FB1">
        <w:rPr>
          <w:rFonts w:ascii="Titillium Web" w:eastAsia="Times New Roman" w:hAnsi="Titillium Web" w:cs="Times New Roman"/>
          <w:color w:val="333333"/>
          <w:sz w:val="21"/>
          <w:szCs w:val="21"/>
          <w:lang w:eastAsia="en-GB"/>
        </w:rPr>
        <w:t>Shari’a</w:t>
      </w:r>
      <w:proofErr w:type="spellEnd"/>
      <w:r w:rsidRPr="00E40FB1">
        <w:rPr>
          <w:rFonts w:ascii="Titillium Web" w:eastAsia="Times New Roman" w:hAnsi="Titillium Web" w:cs="Times New Roman"/>
          <w:color w:val="333333"/>
          <w:sz w:val="21"/>
          <w:szCs w:val="21"/>
          <w:lang w:eastAsia="en-GB"/>
        </w:rPr>
        <w:t xml:space="preserve">, the term </w:t>
      </w:r>
      <w:proofErr w:type="spellStart"/>
      <w:r w:rsidRPr="00E40FB1">
        <w:rPr>
          <w:rFonts w:ascii="Titillium Web" w:eastAsia="Times New Roman" w:hAnsi="Titillium Web" w:cs="Times New Roman"/>
          <w:color w:val="333333"/>
          <w:sz w:val="21"/>
          <w:szCs w:val="21"/>
          <w:lang w:eastAsia="en-GB"/>
        </w:rPr>
        <w:t>fiqh</w:t>
      </w:r>
      <w:proofErr w:type="spellEnd"/>
      <w:r w:rsidRPr="00E40FB1">
        <w:rPr>
          <w:rFonts w:ascii="Titillium Web" w:eastAsia="Times New Roman" w:hAnsi="Titillium Web" w:cs="Times New Roman"/>
          <w:color w:val="333333"/>
          <w:sz w:val="21"/>
          <w:szCs w:val="21"/>
          <w:lang w:eastAsia="en-GB"/>
        </w:rPr>
        <w:t xml:space="preserve"> (Islamic law) was synonymous with the word </w:t>
      </w:r>
      <w:proofErr w:type="spellStart"/>
      <w:r w:rsidRPr="00E40FB1">
        <w:rPr>
          <w:rFonts w:ascii="Titillium Web" w:eastAsia="Times New Roman" w:hAnsi="Titillium Web" w:cs="Times New Roman"/>
          <w:color w:val="333333"/>
          <w:sz w:val="21"/>
          <w:szCs w:val="21"/>
          <w:lang w:eastAsia="en-GB"/>
        </w:rPr>
        <w:t>Shari’a</w:t>
      </w:r>
      <w:proofErr w:type="spellEnd"/>
      <w:r w:rsidRPr="00E40FB1">
        <w:rPr>
          <w:rFonts w:ascii="Titillium Web" w:eastAsia="Times New Roman" w:hAnsi="Titillium Web" w:cs="Times New Roman"/>
          <w:color w:val="333333"/>
          <w:sz w:val="21"/>
          <w:szCs w:val="21"/>
          <w:lang w:eastAsia="en-GB"/>
        </w:rPr>
        <w:t xml:space="preserve">. Thus Imam Abu </w:t>
      </w:r>
      <w:proofErr w:type="spellStart"/>
      <w:r w:rsidRPr="00E40FB1">
        <w:rPr>
          <w:rFonts w:ascii="Titillium Web" w:eastAsia="Times New Roman" w:hAnsi="Titillium Web" w:cs="Times New Roman"/>
          <w:color w:val="333333"/>
          <w:sz w:val="21"/>
          <w:szCs w:val="21"/>
          <w:lang w:eastAsia="en-GB"/>
        </w:rPr>
        <w:t>Hanifa</w:t>
      </w:r>
      <w:proofErr w:type="spellEnd"/>
      <w:r w:rsidRPr="00E40FB1">
        <w:rPr>
          <w:rFonts w:ascii="Titillium Web" w:eastAsia="Times New Roman" w:hAnsi="Titillium Web" w:cs="Times New Roman"/>
          <w:color w:val="333333"/>
          <w:sz w:val="21"/>
          <w:szCs w:val="21"/>
          <w:lang w:eastAsia="en-GB"/>
        </w:rPr>
        <w:t xml:space="preserve"> (May Allah have mercy upon him), defined </w:t>
      </w:r>
      <w:proofErr w:type="spellStart"/>
      <w:r w:rsidRPr="00E40FB1">
        <w:rPr>
          <w:rFonts w:ascii="Titillium Web" w:eastAsia="Times New Roman" w:hAnsi="Titillium Web" w:cs="Times New Roman"/>
          <w:color w:val="333333"/>
          <w:sz w:val="21"/>
          <w:szCs w:val="21"/>
          <w:lang w:eastAsia="en-GB"/>
        </w:rPr>
        <w:t>fiqh</w:t>
      </w:r>
      <w:proofErr w:type="spellEnd"/>
      <w:r w:rsidRPr="00E40FB1">
        <w:rPr>
          <w:rFonts w:ascii="Titillium Web" w:eastAsia="Times New Roman" w:hAnsi="Titillium Web" w:cs="Times New Roman"/>
          <w:color w:val="333333"/>
          <w:sz w:val="21"/>
          <w:szCs w:val="21"/>
          <w:lang w:eastAsia="en-GB"/>
        </w:rPr>
        <w:t xml:space="preserve"> as “the recognition of that which is beneficial and harmful to the self.”</w:t>
      </w:r>
    </w:p>
    <w:p w14:paraId="56765C04" w14:textId="77777777" w:rsidR="00E40FB1" w:rsidRPr="00E40FB1" w:rsidRDefault="00E40FB1" w:rsidP="00E40FB1">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E40FB1">
        <w:rPr>
          <w:rFonts w:ascii="Titillium Web" w:eastAsia="Times New Roman" w:hAnsi="Titillium Web" w:cs="Times New Roman"/>
          <w:color w:val="333333"/>
          <w:sz w:val="21"/>
          <w:szCs w:val="21"/>
          <w:lang w:eastAsia="en-GB"/>
        </w:rPr>
        <w:t xml:space="preserve">Later, in the terminology of the later authorities of </w:t>
      </w:r>
      <w:proofErr w:type="spellStart"/>
      <w:r w:rsidRPr="00E40FB1">
        <w:rPr>
          <w:rFonts w:ascii="Titillium Web" w:eastAsia="Times New Roman" w:hAnsi="Titillium Web" w:cs="Times New Roman"/>
          <w:color w:val="333333"/>
          <w:sz w:val="21"/>
          <w:szCs w:val="21"/>
          <w:lang w:eastAsia="en-GB"/>
        </w:rPr>
        <w:t>Shari’a</w:t>
      </w:r>
      <w:proofErr w:type="spellEnd"/>
      <w:r w:rsidRPr="00E40FB1">
        <w:rPr>
          <w:rFonts w:ascii="Titillium Web" w:eastAsia="Times New Roman" w:hAnsi="Titillium Web" w:cs="Times New Roman"/>
          <w:color w:val="333333"/>
          <w:sz w:val="21"/>
          <w:szCs w:val="21"/>
          <w:lang w:eastAsia="en-GB"/>
        </w:rPr>
        <w:t xml:space="preserve">, the word </w:t>
      </w:r>
      <w:proofErr w:type="spellStart"/>
      <w:r w:rsidRPr="00E40FB1">
        <w:rPr>
          <w:rFonts w:ascii="Titillium Web" w:eastAsia="Times New Roman" w:hAnsi="Titillium Web" w:cs="Times New Roman"/>
          <w:color w:val="333333"/>
          <w:sz w:val="21"/>
          <w:szCs w:val="21"/>
          <w:lang w:eastAsia="en-GB"/>
        </w:rPr>
        <w:t>fiqh</w:t>
      </w:r>
      <w:proofErr w:type="spellEnd"/>
      <w:r w:rsidRPr="00E40FB1">
        <w:rPr>
          <w:rFonts w:ascii="Titillium Web" w:eastAsia="Times New Roman" w:hAnsi="Titillium Web" w:cs="Times New Roman"/>
          <w:color w:val="333333"/>
          <w:sz w:val="21"/>
          <w:szCs w:val="21"/>
          <w:lang w:eastAsia="en-GB"/>
        </w:rPr>
        <w:t xml:space="preserve"> was used for that branch of Islam which related to exoteric acts, while the branch that dealt with esoteric acts became known as </w:t>
      </w:r>
      <w:proofErr w:type="spellStart"/>
      <w:r w:rsidRPr="00E40FB1">
        <w:rPr>
          <w:rFonts w:ascii="Titillium Web" w:eastAsia="Times New Roman" w:hAnsi="Titillium Web" w:cs="Times New Roman"/>
          <w:color w:val="333333"/>
          <w:sz w:val="21"/>
          <w:szCs w:val="21"/>
          <w:lang w:eastAsia="en-GB"/>
        </w:rPr>
        <w:t>Zuhd</w:t>
      </w:r>
      <w:proofErr w:type="spellEnd"/>
      <w:r w:rsidRPr="00E40FB1">
        <w:rPr>
          <w:rFonts w:ascii="Titillium Web" w:eastAsia="Times New Roman" w:hAnsi="Titillium Web" w:cs="Times New Roman"/>
          <w:color w:val="333333"/>
          <w:sz w:val="21"/>
          <w:szCs w:val="21"/>
          <w:lang w:eastAsia="en-GB"/>
        </w:rPr>
        <w:t xml:space="preserve">, </w:t>
      </w:r>
      <w:proofErr w:type="spellStart"/>
      <w:r w:rsidRPr="00E40FB1">
        <w:rPr>
          <w:rFonts w:ascii="Titillium Web" w:eastAsia="Times New Roman" w:hAnsi="Titillium Web" w:cs="Times New Roman"/>
          <w:color w:val="333333"/>
          <w:sz w:val="21"/>
          <w:szCs w:val="21"/>
          <w:lang w:eastAsia="en-GB"/>
        </w:rPr>
        <w:t>Tazkiyah</w:t>
      </w:r>
      <w:proofErr w:type="spellEnd"/>
      <w:r w:rsidRPr="00E40FB1">
        <w:rPr>
          <w:rFonts w:ascii="Titillium Web" w:eastAsia="Times New Roman" w:hAnsi="Titillium Web" w:cs="Times New Roman"/>
          <w:color w:val="333333"/>
          <w:sz w:val="21"/>
          <w:szCs w:val="21"/>
          <w:lang w:eastAsia="en-GB"/>
        </w:rPr>
        <w:t xml:space="preserve">, </w:t>
      </w:r>
      <w:proofErr w:type="spellStart"/>
      <w:r w:rsidRPr="00E40FB1">
        <w:rPr>
          <w:rFonts w:ascii="Titillium Web" w:eastAsia="Times New Roman" w:hAnsi="Titillium Web" w:cs="Times New Roman"/>
          <w:color w:val="333333"/>
          <w:sz w:val="21"/>
          <w:szCs w:val="21"/>
          <w:lang w:eastAsia="en-GB"/>
        </w:rPr>
        <w:t>Tasawwuf</w:t>
      </w:r>
      <w:proofErr w:type="spellEnd"/>
      <w:r w:rsidRPr="00E40FB1">
        <w:rPr>
          <w:rFonts w:ascii="Titillium Web" w:eastAsia="Times New Roman" w:hAnsi="Titillium Web" w:cs="Times New Roman"/>
          <w:color w:val="333333"/>
          <w:sz w:val="21"/>
          <w:szCs w:val="21"/>
          <w:lang w:eastAsia="en-GB"/>
        </w:rPr>
        <w:t xml:space="preserve"> and ‘</w:t>
      </w:r>
      <w:proofErr w:type="spellStart"/>
      <w:r w:rsidRPr="00E40FB1">
        <w:rPr>
          <w:rFonts w:ascii="Titillium Web" w:eastAsia="Times New Roman" w:hAnsi="Titillium Web" w:cs="Times New Roman"/>
          <w:color w:val="333333"/>
          <w:sz w:val="21"/>
          <w:szCs w:val="21"/>
          <w:lang w:eastAsia="en-GB"/>
        </w:rPr>
        <w:t>Ilamul</w:t>
      </w:r>
      <w:proofErr w:type="spellEnd"/>
      <w:r w:rsidRPr="00E40FB1">
        <w:rPr>
          <w:rFonts w:ascii="Titillium Web" w:eastAsia="Times New Roman" w:hAnsi="Titillium Web" w:cs="Times New Roman"/>
          <w:color w:val="333333"/>
          <w:sz w:val="21"/>
          <w:szCs w:val="21"/>
          <w:lang w:eastAsia="en-GB"/>
        </w:rPr>
        <w:t xml:space="preserve"> </w:t>
      </w:r>
      <w:proofErr w:type="spellStart"/>
      <w:r w:rsidRPr="00E40FB1">
        <w:rPr>
          <w:rFonts w:ascii="Titillium Web" w:eastAsia="Times New Roman" w:hAnsi="Titillium Web" w:cs="Times New Roman"/>
          <w:color w:val="333333"/>
          <w:sz w:val="21"/>
          <w:szCs w:val="21"/>
          <w:lang w:eastAsia="en-GB"/>
        </w:rPr>
        <w:t>Ikhlaq</w:t>
      </w:r>
      <w:proofErr w:type="spellEnd"/>
      <w:r w:rsidRPr="00E40FB1">
        <w:rPr>
          <w:rFonts w:ascii="Titillium Web" w:eastAsia="Times New Roman" w:hAnsi="Titillium Web" w:cs="Times New Roman"/>
          <w:color w:val="333333"/>
          <w:sz w:val="21"/>
          <w:szCs w:val="21"/>
          <w:lang w:eastAsia="en-GB"/>
        </w:rPr>
        <w:t xml:space="preserve">. The ways or methods of reforming the esoteric acts are called </w:t>
      </w:r>
      <w:proofErr w:type="spellStart"/>
      <w:r w:rsidRPr="00E40FB1">
        <w:rPr>
          <w:rFonts w:ascii="Titillium Web" w:eastAsia="Times New Roman" w:hAnsi="Titillium Web" w:cs="Times New Roman"/>
          <w:color w:val="333333"/>
          <w:sz w:val="21"/>
          <w:szCs w:val="21"/>
          <w:lang w:eastAsia="en-GB"/>
        </w:rPr>
        <w:t>Tareeqah</w:t>
      </w:r>
      <w:proofErr w:type="spellEnd"/>
      <w:r w:rsidRPr="00E40FB1">
        <w:rPr>
          <w:rFonts w:ascii="Titillium Web" w:eastAsia="Times New Roman" w:hAnsi="Titillium Web" w:cs="Times New Roman"/>
          <w:color w:val="333333"/>
          <w:sz w:val="21"/>
          <w:szCs w:val="21"/>
          <w:lang w:eastAsia="en-GB"/>
        </w:rPr>
        <w:t>.</w:t>
      </w:r>
    </w:p>
    <w:p w14:paraId="15B4D9AD" w14:textId="77777777" w:rsidR="00E40FB1" w:rsidRPr="00E40FB1" w:rsidRDefault="00E40FB1" w:rsidP="00E40FB1">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proofErr w:type="spellStart"/>
      <w:r w:rsidRPr="00E40FB1">
        <w:rPr>
          <w:rFonts w:ascii="Titillium Web" w:eastAsia="Times New Roman" w:hAnsi="Titillium Web" w:cs="Times New Roman"/>
          <w:color w:val="333333"/>
          <w:sz w:val="21"/>
          <w:szCs w:val="21"/>
          <w:lang w:eastAsia="en-GB"/>
        </w:rPr>
        <w:t>Tareeqah</w:t>
      </w:r>
      <w:proofErr w:type="spellEnd"/>
      <w:r w:rsidRPr="00E40FB1">
        <w:rPr>
          <w:rFonts w:ascii="Titillium Web" w:eastAsia="Times New Roman" w:hAnsi="Titillium Web" w:cs="Times New Roman"/>
          <w:color w:val="333333"/>
          <w:sz w:val="21"/>
          <w:szCs w:val="21"/>
          <w:lang w:eastAsia="en-GB"/>
        </w:rPr>
        <w:t xml:space="preserve"> is a term derived from the Quranic verse: “Had they kept straight on the path (</w:t>
      </w:r>
      <w:proofErr w:type="spellStart"/>
      <w:r w:rsidRPr="00E40FB1">
        <w:rPr>
          <w:rFonts w:ascii="Titillium Web" w:eastAsia="Times New Roman" w:hAnsi="Titillium Web" w:cs="Times New Roman"/>
          <w:color w:val="333333"/>
          <w:sz w:val="21"/>
          <w:szCs w:val="21"/>
          <w:lang w:eastAsia="en-GB"/>
        </w:rPr>
        <w:t>tareeqah</w:t>
      </w:r>
      <w:proofErr w:type="spellEnd"/>
      <w:r w:rsidRPr="00E40FB1">
        <w:rPr>
          <w:rFonts w:ascii="Titillium Web" w:eastAsia="Times New Roman" w:hAnsi="Titillium Web" w:cs="Times New Roman"/>
          <w:color w:val="333333"/>
          <w:sz w:val="21"/>
          <w:szCs w:val="21"/>
          <w:lang w:eastAsia="en-GB"/>
        </w:rPr>
        <w:t xml:space="preserve">), We would have made them drink of a most </w:t>
      </w:r>
      <w:proofErr w:type="spellStart"/>
      <w:r w:rsidRPr="00E40FB1">
        <w:rPr>
          <w:rFonts w:ascii="Titillium Web" w:eastAsia="Times New Roman" w:hAnsi="Titillium Web" w:cs="Times New Roman"/>
          <w:color w:val="333333"/>
          <w:sz w:val="21"/>
          <w:szCs w:val="21"/>
          <w:lang w:eastAsia="en-GB"/>
        </w:rPr>
        <w:t>limpified</w:t>
      </w:r>
      <w:proofErr w:type="spellEnd"/>
      <w:r w:rsidRPr="00E40FB1">
        <w:rPr>
          <w:rFonts w:ascii="Titillium Web" w:eastAsia="Times New Roman" w:hAnsi="Titillium Web" w:cs="Times New Roman"/>
          <w:color w:val="333333"/>
          <w:sz w:val="21"/>
          <w:szCs w:val="21"/>
          <w:lang w:eastAsia="en-GB"/>
        </w:rPr>
        <w:t xml:space="preserve"> water” (72:16). The meaning of “path” in this verse is elucidated by the hadith of the Prophet (</w:t>
      </w:r>
      <w:proofErr w:type="spellStart"/>
      <w:r w:rsidRPr="00E40FB1">
        <w:rPr>
          <w:rFonts w:ascii="Titillium Web" w:eastAsia="Times New Roman" w:hAnsi="Titillium Web" w:cs="Times New Roman"/>
          <w:color w:val="333333"/>
          <w:sz w:val="21"/>
          <w:szCs w:val="21"/>
          <w:lang w:eastAsia="en-GB"/>
        </w:rPr>
        <w:t>Sallallahu</w:t>
      </w:r>
      <w:proofErr w:type="spellEnd"/>
      <w:r w:rsidRPr="00E40FB1">
        <w:rPr>
          <w:rFonts w:ascii="Titillium Web" w:eastAsia="Times New Roman" w:hAnsi="Titillium Web" w:cs="Times New Roman"/>
          <w:color w:val="333333"/>
          <w:sz w:val="21"/>
          <w:szCs w:val="21"/>
          <w:lang w:eastAsia="en-GB"/>
        </w:rPr>
        <w:t xml:space="preserve"> </w:t>
      </w:r>
      <w:proofErr w:type="spellStart"/>
      <w:r w:rsidRPr="00E40FB1">
        <w:rPr>
          <w:rFonts w:ascii="Titillium Web" w:eastAsia="Times New Roman" w:hAnsi="Titillium Web" w:cs="Times New Roman"/>
          <w:color w:val="333333"/>
          <w:sz w:val="21"/>
          <w:szCs w:val="21"/>
          <w:lang w:eastAsia="en-GB"/>
        </w:rPr>
        <w:t>Alaihi</w:t>
      </w:r>
      <w:proofErr w:type="spellEnd"/>
      <w:r w:rsidRPr="00E40FB1">
        <w:rPr>
          <w:rFonts w:ascii="Titillium Web" w:eastAsia="Times New Roman" w:hAnsi="Titillium Web" w:cs="Times New Roman"/>
          <w:color w:val="333333"/>
          <w:sz w:val="21"/>
          <w:szCs w:val="21"/>
          <w:lang w:eastAsia="en-GB"/>
        </w:rPr>
        <w:t xml:space="preserve"> </w:t>
      </w:r>
      <w:proofErr w:type="spellStart"/>
      <w:r w:rsidRPr="00E40FB1">
        <w:rPr>
          <w:rFonts w:ascii="Titillium Web" w:eastAsia="Times New Roman" w:hAnsi="Titillium Web" w:cs="Times New Roman"/>
          <w:color w:val="333333"/>
          <w:sz w:val="21"/>
          <w:szCs w:val="21"/>
          <w:lang w:eastAsia="en-GB"/>
        </w:rPr>
        <w:t>Wasallam</w:t>
      </w:r>
      <w:proofErr w:type="spellEnd"/>
      <w:r w:rsidRPr="00E40FB1">
        <w:rPr>
          <w:rFonts w:ascii="Titillium Web" w:eastAsia="Times New Roman" w:hAnsi="Titillium Web" w:cs="Times New Roman"/>
          <w:color w:val="333333"/>
          <w:sz w:val="21"/>
          <w:szCs w:val="21"/>
          <w:lang w:eastAsia="en-GB"/>
        </w:rPr>
        <w:t xml:space="preserve">), related by Bukhari and Muslim, ordering his followers to follow his sunnah and the sunnah of his successors. Like </w:t>
      </w:r>
      <w:proofErr w:type="spellStart"/>
      <w:r w:rsidRPr="00E40FB1">
        <w:rPr>
          <w:rFonts w:ascii="Titillium Web" w:eastAsia="Times New Roman" w:hAnsi="Titillium Web" w:cs="Times New Roman"/>
          <w:color w:val="333333"/>
          <w:sz w:val="21"/>
          <w:szCs w:val="21"/>
          <w:lang w:eastAsia="en-GB"/>
        </w:rPr>
        <w:t>tareeqah</w:t>
      </w:r>
      <w:proofErr w:type="spellEnd"/>
      <w:r w:rsidRPr="00E40FB1">
        <w:rPr>
          <w:rFonts w:ascii="Titillium Web" w:eastAsia="Times New Roman" w:hAnsi="Titillium Web" w:cs="Times New Roman"/>
          <w:color w:val="333333"/>
          <w:sz w:val="21"/>
          <w:szCs w:val="21"/>
          <w:lang w:eastAsia="en-GB"/>
        </w:rPr>
        <w:t xml:space="preserve"> in the verse, the meaning of sunnah in the hadith is “path” and “way”. </w:t>
      </w:r>
      <w:proofErr w:type="spellStart"/>
      <w:r w:rsidRPr="00E40FB1">
        <w:rPr>
          <w:rFonts w:ascii="Titillium Web" w:eastAsia="Times New Roman" w:hAnsi="Titillium Web" w:cs="Times New Roman"/>
          <w:color w:val="333333"/>
          <w:sz w:val="21"/>
          <w:szCs w:val="21"/>
          <w:lang w:eastAsia="en-GB"/>
        </w:rPr>
        <w:t>Tareeqah</w:t>
      </w:r>
      <w:proofErr w:type="spellEnd"/>
      <w:r w:rsidRPr="00E40FB1">
        <w:rPr>
          <w:rFonts w:ascii="Titillium Web" w:eastAsia="Times New Roman" w:hAnsi="Titillium Web" w:cs="Times New Roman"/>
          <w:color w:val="333333"/>
          <w:sz w:val="21"/>
          <w:szCs w:val="21"/>
          <w:lang w:eastAsia="en-GB"/>
        </w:rPr>
        <w:t xml:space="preserve"> thus can be a term applied to groups of individuals belonging to the school of thought pursued by a particular scholar or “shaykh”, as such a person was often called. So </w:t>
      </w:r>
      <w:proofErr w:type="spellStart"/>
      <w:r w:rsidRPr="00E40FB1">
        <w:rPr>
          <w:rFonts w:ascii="Titillium Web" w:eastAsia="Times New Roman" w:hAnsi="Titillium Web" w:cs="Times New Roman"/>
          <w:color w:val="333333"/>
          <w:sz w:val="21"/>
          <w:szCs w:val="21"/>
          <w:lang w:eastAsia="en-GB"/>
        </w:rPr>
        <w:t>Tareeqah</w:t>
      </w:r>
      <w:proofErr w:type="spellEnd"/>
      <w:r w:rsidRPr="00E40FB1">
        <w:rPr>
          <w:rFonts w:ascii="Titillium Web" w:eastAsia="Times New Roman" w:hAnsi="Titillium Web" w:cs="Times New Roman"/>
          <w:color w:val="333333"/>
          <w:sz w:val="21"/>
          <w:szCs w:val="21"/>
          <w:lang w:eastAsia="en-GB"/>
        </w:rPr>
        <w:t xml:space="preserve"> means At-</w:t>
      </w:r>
      <w:proofErr w:type="spellStart"/>
      <w:r w:rsidRPr="00E40FB1">
        <w:rPr>
          <w:rFonts w:ascii="Titillium Web" w:eastAsia="Times New Roman" w:hAnsi="Titillium Web" w:cs="Times New Roman"/>
          <w:color w:val="333333"/>
          <w:sz w:val="21"/>
          <w:szCs w:val="21"/>
          <w:lang w:eastAsia="en-GB"/>
        </w:rPr>
        <w:t>tareeq</w:t>
      </w:r>
      <w:proofErr w:type="spellEnd"/>
      <w:r w:rsidRPr="00E40FB1">
        <w:rPr>
          <w:rFonts w:ascii="Titillium Web" w:eastAsia="Times New Roman" w:hAnsi="Titillium Web" w:cs="Times New Roman"/>
          <w:color w:val="333333"/>
          <w:sz w:val="21"/>
          <w:szCs w:val="21"/>
          <w:lang w:eastAsia="en-GB"/>
        </w:rPr>
        <w:t xml:space="preserve"> </w:t>
      </w:r>
      <w:proofErr w:type="spellStart"/>
      <w:r w:rsidRPr="00E40FB1">
        <w:rPr>
          <w:rFonts w:ascii="Titillium Web" w:eastAsia="Times New Roman" w:hAnsi="Titillium Web" w:cs="Times New Roman"/>
          <w:color w:val="333333"/>
          <w:sz w:val="21"/>
          <w:szCs w:val="21"/>
          <w:lang w:eastAsia="en-GB"/>
        </w:rPr>
        <w:t>Ilallah</w:t>
      </w:r>
      <w:proofErr w:type="spellEnd"/>
      <w:r w:rsidRPr="00E40FB1">
        <w:rPr>
          <w:rFonts w:ascii="Titillium Web" w:eastAsia="Times New Roman" w:hAnsi="Titillium Web" w:cs="Times New Roman"/>
          <w:color w:val="333333"/>
          <w:sz w:val="21"/>
          <w:szCs w:val="21"/>
          <w:lang w:eastAsia="en-GB"/>
        </w:rPr>
        <w:t xml:space="preserve"> (The Path to the pleasure of Allah, the Majestic) as taught by our great Master </w:t>
      </w:r>
      <w:proofErr w:type="spellStart"/>
      <w:r w:rsidRPr="00E40FB1">
        <w:rPr>
          <w:rFonts w:ascii="Titillium Web" w:eastAsia="Times New Roman" w:hAnsi="Titillium Web" w:cs="Times New Roman"/>
          <w:color w:val="333333"/>
          <w:sz w:val="21"/>
          <w:szCs w:val="21"/>
          <w:lang w:eastAsia="en-GB"/>
        </w:rPr>
        <w:t>Sydinina</w:t>
      </w:r>
      <w:proofErr w:type="spellEnd"/>
      <w:r w:rsidRPr="00E40FB1">
        <w:rPr>
          <w:rFonts w:ascii="Titillium Web" w:eastAsia="Times New Roman" w:hAnsi="Titillium Web" w:cs="Times New Roman"/>
          <w:color w:val="333333"/>
          <w:sz w:val="21"/>
          <w:szCs w:val="21"/>
          <w:lang w:eastAsia="en-GB"/>
        </w:rPr>
        <w:t xml:space="preserve"> Muhammad (</w:t>
      </w:r>
      <w:proofErr w:type="spellStart"/>
      <w:r w:rsidRPr="00E40FB1">
        <w:rPr>
          <w:rFonts w:ascii="Titillium Web" w:eastAsia="Times New Roman" w:hAnsi="Titillium Web" w:cs="Times New Roman"/>
          <w:color w:val="333333"/>
          <w:sz w:val="21"/>
          <w:szCs w:val="21"/>
          <w:lang w:eastAsia="en-GB"/>
        </w:rPr>
        <w:t>Sallallahu</w:t>
      </w:r>
      <w:proofErr w:type="spellEnd"/>
      <w:r w:rsidRPr="00E40FB1">
        <w:rPr>
          <w:rFonts w:ascii="Titillium Web" w:eastAsia="Times New Roman" w:hAnsi="Titillium Web" w:cs="Times New Roman"/>
          <w:color w:val="333333"/>
          <w:sz w:val="21"/>
          <w:szCs w:val="21"/>
          <w:lang w:eastAsia="en-GB"/>
        </w:rPr>
        <w:t xml:space="preserve"> </w:t>
      </w:r>
      <w:proofErr w:type="spellStart"/>
      <w:r w:rsidRPr="00E40FB1">
        <w:rPr>
          <w:rFonts w:ascii="Titillium Web" w:eastAsia="Times New Roman" w:hAnsi="Titillium Web" w:cs="Times New Roman"/>
          <w:color w:val="333333"/>
          <w:sz w:val="21"/>
          <w:szCs w:val="21"/>
          <w:lang w:eastAsia="en-GB"/>
        </w:rPr>
        <w:t>Alaihi</w:t>
      </w:r>
      <w:proofErr w:type="spellEnd"/>
      <w:r w:rsidRPr="00E40FB1">
        <w:rPr>
          <w:rFonts w:ascii="Titillium Web" w:eastAsia="Times New Roman" w:hAnsi="Titillium Web" w:cs="Times New Roman"/>
          <w:color w:val="333333"/>
          <w:sz w:val="21"/>
          <w:szCs w:val="21"/>
          <w:lang w:eastAsia="en-GB"/>
        </w:rPr>
        <w:t xml:space="preserve"> </w:t>
      </w:r>
      <w:proofErr w:type="spellStart"/>
      <w:r w:rsidRPr="00E40FB1">
        <w:rPr>
          <w:rFonts w:ascii="Titillium Web" w:eastAsia="Times New Roman" w:hAnsi="Titillium Web" w:cs="Times New Roman"/>
          <w:color w:val="333333"/>
          <w:sz w:val="21"/>
          <w:szCs w:val="21"/>
          <w:lang w:eastAsia="en-GB"/>
        </w:rPr>
        <w:t>Wasallam</w:t>
      </w:r>
      <w:proofErr w:type="spellEnd"/>
      <w:r w:rsidRPr="00E40FB1">
        <w:rPr>
          <w:rFonts w:ascii="Titillium Web" w:eastAsia="Times New Roman" w:hAnsi="Titillium Web" w:cs="Times New Roman"/>
          <w:color w:val="333333"/>
          <w:sz w:val="21"/>
          <w:szCs w:val="21"/>
          <w:lang w:eastAsia="en-GB"/>
        </w:rPr>
        <w:t>) which is based on Quran and Sunnah.</w:t>
      </w:r>
    </w:p>
    <w:p w14:paraId="560F7B9E" w14:textId="77777777" w:rsidR="00E40FB1" w:rsidRPr="00E40FB1" w:rsidRDefault="00E40FB1" w:rsidP="00E40FB1">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E40FB1">
        <w:rPr>
          <w:rFonts w:ascii="Titillium Web" w:eastAsia="Times New Roman" w:hAnsi="Titillium Web" w:cs="Times New Roman"/>
          <w:color w:val="333333"/>
          <w:sz w:val="21"/>
          <w:szCs w:val="21"/>
          <w:lang w:eastAsia="en-GB"/>
        </w:rPr>
        <w:t xml:space="preserve">As mentioned previously when </w:t>
      </w:r>
      <w:proofErr w:type="spellStart"/>
      <w:r w:rsidRPr="00E40FB1">
        <w:rPr>
          <w:rFonts w:ascii="Titillium Web" w:eastAsia="Times New Roman" w:hAnsi="Titillium Web" w:cs="Times New Roman"/>
          <w:color w:val="333333"/>
          <w:sz w:val="21"/>
          <w:szCs w:val="21"/>
          <w:lang w:eastAsia="en-GB"/>
        </w:rPr>
        <w:t>Hadrat</w:t>
      </w:r>
      <w:proofErr w:type="spellEnd"/>
      <w:r w:rsidRPr="00E40FB1">
        <w:rPr>
          <w:rFonts w:ascii="Titillium Web" w:eastAsia="Times New Roman" w:hAnsi="Titillium Web" w:cs="Times New Roman"/>
          <w:color w:val="333333"/>
          <w:sz w:val="21"/>
          <w:szCs w:val="21"/>
          <w:lang w:eastAsia="en-GB"/>
        </w:rPr>
        <w:t xml:space="preserve"> </w:t>
      </w:r>
      <w:proofErr w:type="spellStart"/>
      <w:r w:rsidRPr="00E40FB1">
        <w:rPr>
          <w:rFonts w:ascii="Titillium Web" w:eastAsia="Times New Roman" w:hAnsi="Titillium Web" w:cs="Times New Roman"/>
          <w:color w:val="333333"/>
          <w:sz w:val="21"/>
          <w:szCs w:val="21"/>
          <w:lang w:eastAsia="en-GB"/>
        </w:rPr>
        <w:t>Jibraeel</w:t>
      </w:r>
      <w:proofErr w:type="spellEnd"/>
      <w:r w:rsidRPr="00E40FB1">
        <w:rPr>
          <w:rFonts w:ascii="Titillium Web" w:eastAsia="Times New Roman" w:hAnsi="Titillium Web" w:cs="Times New Roman"/>
          <w:color w:val="333333"/>
          <w:sz w:val="21"/>
          <w:szCs w:val="21"/>
          <w:lang w:eastAsia="en-GB"/>
        </w:rPr>
        <w:t xml:space="preserve"> (</w:t>
      </w:r>
      <w:proofErr w:type="spellStart"/>
      <w:r w:rsidRPr="00E40FB1">
        <w:rPr>
          <w:rFonts w:ascii="Titillium Web" w:eastAsia="Times New Roman" w:hAnsi="Titillium Web" w:cs="Times New Roman"/>
          <w:color w:val="333333"/>
          <w:sz w:val="21"/>
          <w:szCs w:val="21"/>
          <w:lang w:eastAsia="en-GB"/>
        </w:rPr>
        <w:t>Alaihi</w:t>
      </w:r>
      <w:proofErr w:type="spellEnd"/>
      <w:r w:rsidRPr="00E40FB1">
        <w:rPr>
          <w:rFonts w:ascii="Titillium Web" w:eastAsia="Times New Roman" w:hAnsi="Titillium Web" w:cs="Times New Roman"/>
          <w:color w:val="333333"/>
          <w:sz w:val="21"/>
          <w:szCs w:val="21"/>
          <w:lang w:eastAsia="en-GB"/>
        </w:rPr>
        <w:t xml:space="preserve"> Salaam) asked the Prophet (</w:t>
      </w:r>
      <w:proofErr w:type="spellStart"/>
      <w:r w:rsidRPr="00E40FB1">
        <w:rPr>
          <w:rFonts w:ascii="Titillium Web" w:eastAsia="Times New Roman" w:hAnsi="Titillium Web" w:cs="Times New Roman"/>
          <w:color w:val="333333"/>
          <w:sz w:val="21"/>
          <w:szCs w:val="21"/>
          <w:lang w:eastAsia="en-GB"/>
        </w:rPr>
        <w:t>Sallallahu</w:t>
      </w:r>
      <w:proofErr w:type="spellEnd"/>
      <w:r w:rsidRPr="00E40FB1">
        <w:rPr>
          <w:rFonts w:ascii="Titillium Web" w:eastAsia="Times New Roman" w:hAnsi="Titillium Web" w:cs="Times New Roman"/>
          <w:color w:val="333333"/>
          <w:sz w:val="21"/>
          <w:szCs w:val="21"/>
          <w:lang w:eastAsia="en-GB"/>
        </w:rPr>
        <w:t xml:space="preserve"> </w:t>
      </w:r>
      <w:proofErr w:type="spellStart"/>
      <w:r w:rsidRPr="00E40FB1">
        <w:rPr>
          <w:rFonts w:ascii="Titillium Web" w:eastAsia="Times New Roman" w:hAnsi="Titillium Web" w:cs="Times New Roman"/>
          <w:color w:val="333333"/>
          <w:sz w:val="21"/>
          <w:szCs w:val="21"/>
          <w:lang w:eastAsia="en-GB"/>
        </w:rPr>
        <w:t>Alaihi</w:t>
      </w:r>
      <w:proofErr w:type="spellEnd"/>
      <w:r w:rsidRPr="00E40FB1">
        <w:rPr>
          <w:rFonts w:ascii="Titillium Web" w:eastAsia="Times New Roman" w:hAnsi="Titillium Web" w:cs="Times New Roman"/>
          <w:color w:val="333333"/>
          <w:sz w:val="21"/>
          <w:szCs w:val="21"/>
          <w:lang w:eastAsia="en-GB"/>
        </w:rPr>
        <w:t xml:space="preserve"> </w:t>
      </w:r>
      <w:proofErr w:type="spellStart"/>
      <w:r w:rsidRPr="00E40FB1">
        <w:rPr>
          <w:rFonts w:ascii="Titillium Web" w:eastAsia="Times New Roman" w:hAnsi="Titillium Web" w:cs="Times New Roman"/>
          <w:color w:val="333333"/>
          <w:sz w:val="21"/>
          <w:szCs w:val="21"/>
          <w:lang w:eastAsia="en-GB"/>
        </w:rPr>
        <w:t>Wasallam</w:t>
      </w:r>
      <w:proofErr w:type="spellEnd"/>
      <w:r w:rsidRPr="00E40FB1">
        <w:rPr>
          <w:rFonts w:ascii="Titillium Web" w:eastAsia="Times New Roman" w:hAnsi="Titillium Web" w:cs="Times New Roman"/>
          <w:color w:val="333333"/>
          <w:sz w:val="21"/>
          <w:szCs w:val="21"/>
          <w:lang w:eastAsia="en-GB"/>
        </w:rPr>
        <w:t xml:space="preserve">) what </w:t>
      </w:r>
      <w:proofErr w:type="spellStart"/>
      <w:r w:rsidRPr="00E40FB1">
        <w:rPr>
          <w:rFonts w:ascii="Titillium Web" w:eastAsia="Times New Roman" w:hAnsi="Titillium Web" w:cs="Times New Roman"/>
          <w:color w:val="333333"/>
          <w:sz w:val="21"/>
          <w:szCs w:val="21"/>
          <w:lang w:eastAsia="en-GB"/>
        </w:rPr>
        <w:t>Ihsaan</w:t>
      </w:r>
      <w:proofErr w:type="spellEnd"/>
      <w:r w:rsidRPr="00E40FB1">
        <w:rPr>
          <w:rFonts w:ascii="Titillium Web" w:eastAsia="Times New Roman" w:hAnsi="Titillium Web" w:cs="Times New Roman"/>
          <w:color w:val="333333"/>
          <w:sz w:val="21"/>
          <w:szCs w:val="21"/>
          <w:lang w:eastAsia="en-GB"/>
        </w:rPr>
        <w:t xml:space="preserve"> was, to which the Prophet (</w:t>
      </w:r>
      <w:proofErr w:type="spellStart"/>
      <w:r w:rsidRPr="00E40FB1">
        <w:rPr>
          <w:rFonts w:ascii="Titillium Web" w:eastAsia="Times New Roman" w:hAnsi="Titillium Web" w:cs="Times New Roman"/>
          <w:color w:val="333333"/>
          <w:sz w:val="21"/>
          <w:szCs w:val="21"/>
          <w:lang w:eastAsia="en-GB"/>
        </w:rPr>
        <w:t>Sallallahu</w:t>
      </w:r>
      <w:proofErr w:type="spellEnd"/>
      <w:r w:rsidRPr="00E40FB1">
        <w:rPr>
          <w:rFonts w:ascii="Titillium Web" w:eastAsia="Times New Roman" w:hAnsi="Titillium Web" w:cs="Times New Roman"/>
          <w:color w:val="333333"/>
          <w:sz w:val="21"/>
          <w:szCs w:val="21"/>
          <w:lang w:eastAsia="en-GB"/>
        </w:rPr>
        <w:t xml:space="preserve"> </w:t>
      </w:r>
      <w:proofErr w:type="spellStart"/>
      <w:r w:rsidRPr="00E40FB1">
        <w:rPr>
          <w:rFonts w:ascii="Titillium Web" w:eastAsia="Times New Roman" w:hAnsi="Titillium Web" w:cs="Times New Roman"/>
          <w:color w:val="333333"/>
          <w:sz w:val="21"/>
          <w:szCs w:val="21"/>
          <w:lang w:eastAsia="en-GB"/>
        </w:rPr>
        <w:t>Alaihi</w:t>
      </w:r>
      <w:proofErr w:type="spellEnd"/>
      <w:r w:rsidRPr="00E40FB1">
        <w:rPr>
          <w:rFonts w:ascii="Titillium Web" w:eastAsia="Times New Roman" w:hAnsi="Titillium Web" w:cs="Times New Roman"/>
          <w:color w:val="333333"/>
          <w:sz w:val="21"/>
          <w:szCs w:val="21"/>
          <w:lang w:eastAsia="en-GB"/>
        </w:rPr>
        <w:t xml:space="preserve"> </w:t>
      </w:r>
      <w:proofErr w:type="spellStart"/>
      <w:r w:rsidRPr="00E40FB1">
        <w:rPr>
          <w:rFonts w:ascii="Titillium Web" w:eastAsia="Times New Roman" w:hAnsi="Titillium Web" w:cs="Times New Roman"/>
          <w:color w:val="333333"/>
          <w:sz w:val="21"/>
          <w:szCs w:val="21"/>
          <w:lang w:eastAsia="en-GB"/>
        </w:rPr>
        <w:t>Wasallam</w:t>
      </w:r>
      <w:proofErr w:type="spellEnd"/>
      <w:r w:rsidRPr="00E40FB1">
        <w:rPr>
          <w:rFonts w:ascii="Titillium Web" w:eastAsia="Times New Roman" w:hAnsi="Titillium Web" w:cs="Times New Roman"/>
          <w:color w:val="333333"/>
          <w:sz w:val="21"/>
          <w:szCs w:val="21"/>
          <w:lang w:eastAsia="en-GB"/>
        </w:rPr>
        <w:t xml:space="preserve">) replied “To worship Allah as if you are seeing Him”. </w:t>
      </w:r>
      <w:proofErr w:type="spellStart"/>
      <w:r w:rsidRPr="00E40FB1">
        <w:rPr>
          <w:rFonts w:ascii="Titillium Web" w:eastAsia="Times New Roman" w:hAnsi="Titillium Web" w:cs="Times New Roman"/>
          <w:color w:val="333333"/>
          <w:sz w:val="21"/>
          <w:szCs w:val="21"/>
          <w:lang w:eastAsia="en-GB"/>
        </w:rPr>
        <w:t>Tareeqah</w:t>
      </w:r>
      <w:proofErr w:type="spellEnd"/>
      <w:r w:rsidRPr="00E40FB1">
        <w:rPr>
          <w:rFonts w:ascii="Titillium Web" w:eastAsia="Times New Roman" w:hAnsi="Titillium Web" w:cs="Times New Roman"/>
          <w:color w:val="333333"/>
          <w:sz w:val="21"/>
          <w:szCs w:val="21"/>
          <w:lang w:eastAsia="en-GB"/>
        </w:rPr>
        <w:t xml:space="preserve"> is just another name for </w:t>
      </w:r>
      <w:proofErr w:type="spellStart"/>
      <w:r w:rsidRPr="00E40FB1">
        <w:rPr>
          <w:rFonts w:ascii="Titillium Web" w:eastAsia="Times New Roman" w:hAnsi="Titillium Web" w:cs="Times New Roman"/>
          <w:color w:val="333333"/>
          <w:sz w:val="21"/>
          <w:szCs w:val="21"/>
          <w:lang w:eastAsia="en-GB"/>
        </w:rPr>
        <w:t>Ihsaan</w:t>
      </w:r>
      <w:proofErr w:type="spellEnd"/>
      <w:r w:rsidRPr="00E40FB1">
        <w:rPr>
          <w:rFonts w:ascii="Titillium Web" w:eastAsia="Times New Roman" w:hAnsi="Titillium Web" w:cs="Times New Roman"/>
          <w:color w:val="333333"/>
          <w:sz w:val="21"/>
          <w:szCs w:val="21"/>
          <w:lang w:eastAsia="en-GB"/>
        </w:rPr>
        <w:t xml:space="preserve">, and the method of gaining </w:t>
      </w:r>
      <w:proofErr w:type="spellStart"/>
      <w:r w:rsidRPr="00E40FB1">
        <w:rPr>
          <w:rFonts w:ascii="Titillium Web" w:eastAsia="Times New Roman" w:hAnsi="Titillium Web" w:cs="Times New Roman"/>
          <w:color w:val="333333"/>
          <w:sz w:val="21"/>
          <w:szCs w:val="21"/>
          <w:lang w:eastAsia="en-GB"/>
        </w:rPr>
        <w:t>Ihsaan</w:t>
      </w:r>
      <w:proofErr w:type="spellEnd"/>
      <w:r w:rsidRPr="00E40FB1">
        <w:rPr>
          <w:rFonts w:ascii="Titillium Web" w:eastAsia="Times New Roman" w:hAnsi="Titillium Web" w:cs="Times New Roman"/>
          <w:color w:val="333333"/>
          <w:sz w:val="21"/>
          <w:szCs w:val="21"/>
          <w:lang w:eastAsia="en-GB"/>
        </w:rPr>
        <w:t>.</w:t>
      </w:r>
    </w:p>
    <w:p w14:paraId="2B0637F6" w14:textId="77777777" w:rsidR="00E40FB1" w:rsidRPr="00E40FB1" w:rsidRDefault="00E40FB1" w:rsidP="00E40FB1">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E40FB1">
        <w:rPr>
          <w:rFonts w:ascii="Titillium Web" w:eastAsia="Times New Roman" w:hAnsi="Titillium Web" w:cs="Times New Roman"/>
          <w:color w:val="333333"/>
          <w:sz w:val="21"/>
          <w:szCs w:val="21"/>
          <w:lang w:eastAsia="en-GB"/>
        </w:rPr>
        <w:t>Although the Shaykhs applied different methods in training their followers, the core of each one’s programme was identical. The situation was not unlike what happens in institutions of medicine and law today. The approaches of the various universities may be different, but the body of law and the practise of medicine remain essentially the same. When they graduate from either of these faculties, each student bears the stamp of the particular school he attended.</w:t>
      </w:r>
    </w:p>
    <w:p w14:paraId="289DB0DC" w14:textId="77777777" w:rsidR="00E40FB1" w:rsidRPr="00E40FB1" w:rsidRDefault="00E40FB1" w:rsidP="00E40FB1">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E40FB1">
        <w:rPr>
          <w:rFonts w:ascii="Titillium Web" w:eastAsia="Times New Roman" w:hAnsi="Titillium Web" w:cs="Times New Roman"/>
          <w:color w:val="333333"/>
          <w:sz w:val="21"/>
          <w:szCs w:val="21"/>
          <w:lang w:eastAsia="en-GB"/>
        </w:rPr>
        <w:t xml:space="preserve">Just as there are </w:t>
      </w:r>
      <w:proofErr w:type="spellStart"/>
      <w:r w:rsidRPr="00E40FB1">
        <w:rPr>
          <w:rFonts w:ascii="Titillium Web" w:eastAsia="Times New Roman" w:hAnsi="Titillium Web" w:cs="Times New Roman"/>
          <w:color w:val="333333"/>
          <w:sz w:val="21"/>
          <w:szCs w:val="21"/>
          <w:lang w:eastAsia="en-GB"/>
        </w:rPr>
        <w:t>masaa’il</w:t>
      </w:r>
      <w:proofErr w:type="spellEnd"/>
      <w:r w:rsidRPr="00E40FB1">
        <w:rPr>
          <w:rFonts w:ascii="Titillium Web" w:eastAsia="Times New Roman" w:hAnsi="Titillium Web" w:cs="Times New Roman"/>
          <w:color w:val="333333"/>
          <w:sz w:val="21"/>
          <w:szCs w:val="21"/>
          <w:lang w:eastAsia="en-GB"/>
        </w:rPr>
        <w:t xml:space="preserve"> (rules and regulations) relating to </w:t>
      </w:r>
      <w:proofErr w:type="spellStart"/>
      <w:r w:rsidRPr="00E40FB1">
        <w:rPr>
          <w:rFonts w:ascii="Titillium Web" w:eastAsia="Times New Roman" w:hAnsi="Titillium Web" w:cs="Times New Roman"/>
          <w:color w:val="333333"/>
          <w:sz w:val="21"/>
          <w:szCs w:val="21"/>
          <w:lang w:eastAsia="en-GB"/>
        </w:rPr>
        <w:t>Fiqh</w:t>
      </w:r>
      <w:proofErr w:type="spellEnd"/>
      <w:r w:rsidRPr="00E40FB1">
        <w:rPr>
          <w:rFonts w:ascii="Titillium Web" w:eastAsia="Times New Roman" w:hAnsi="Titillium Web" w:cs="Times New Roman"/>
          <w:color w:val="333333"/>
          <w:sz w:val="21"/>
          <w:szCs w:val="21"/>
          <w:lang w:eastAsia="en-GB"/>
        </w:rPr>
        <w:t xml:space="preserve">, similarly there are </w:t>
      </w:r>
      <w:proofErr w:type="spellStart"/>
      <w:r w:rsidRPr="00E40FB1">
        <w:rPr>
          <w:rFonts w:ascii="Titillium Web" w:eastAsia="Times New Roman" w:hAnsi="Titillium Web" w:cs="Times New Roman"/>
          <w:color w:val="333333"/>
          <w:sz w:val="21"/>
          <w:szCs w:val="21"/>
          <w:lang w:eastAsia="en-GB"/>
        </w:rPr>
        <w:t>masaa’il</w:t>
      </w:r>
      <w:proofErr w:type="spellEnd"/>
      <w:r w:rsidRPr="00E40FB1">
        <w:rPr>
          <w:rFonts w:ascii="Titillium Web" w:eastAsia="Times New Roman" w:hAnsi="Titillium Web" w:cs="Times New Roman"/>
          <w:color w:val="333333"/>
          <w:sz w:val="21"/>
          <w:szCs w:val="21"/>
          <w:lang w:eastAsia="en-GB"/>
        </w:rPr>
        <w:t xml:space="preserve"> relating to </w:t>
      </w:r>
      <w:proofErr w:type="spellStart"/>
      <w:r w:rsidRPr="00E40FB1">
        <w:rPr>
          <w:rFonts w:ascii="Titillium Web" w:eastAsia="Times New Roman" w:hAnsi="Titillium Web" w:cs="Times New Roman"/>
          <w:color w:val="333333"/>
          <w:sz w:val="21"/>
          <w:szCs w:val="21"/>
          <w:lang w:eastAsia="en-GB"/>
        </w:rPr>
        <w:t>Tareeqah</w:t>
      </w:r>
      <w:proofErr w:type="spellEnd"/>
      <w:r w:rsidRPr="00E40FB1">
        <w:rPr>
          <w:rFonts w:ascii="Titillium Web" w:eastAsia="Times New Roman" w:hAnsi="Titillium Web" w:cs="Times New Roman"/>
          <w:color w:val="333333"/>
          <w:sz w:val="21"/>
          <w:szCs w:val="21"/>
          <w:lang w:eastAsia="en-GB"/>
        </w:rPr>
        <w:t xml:space="preserve">. Generally the scholars know about the </w:t>
      </w:r>
      <w:proofErr w:type="spellStart"/>
      <w:r w:rsidRPr="00E40FB1">
        <w:rPr>
          <w:rFonts w:ascii="Titillium Web" w:eastAsia="Times New Roman" w:hAnsi="Titillium Web" w:cs="Times New Roman"/>
          <w:color w:val="333333"/>
          <w:sz w:val="21"/>
          <w:szCs w:val="21"/>
          <w:lang w:eastAsia="en-GB"/>
        </w:rPr>
        <w:t>masaa’il</w:t>
      </w:r>
      <w:proofErr w:type="spellEnd"/>
      <w:r w:rsidRPr="00E40FB1">
        <w:rPr>
          <w:rFonts w:ascii="Titillium Web" w:eastAsia="Times New Roman" w:hAnsi="Titillium Web" w:cs="Times New Roman"/>
          <w:color w:val="333333"/>
          <w:sz w:val="21"/>
          <w:szCs w:val="21"/>
          <w:lang w:eastAsia="en-GB"/>
        </w:rPr>
        <w:t xml:space="preserve"> of </w:t>
      </w:r>
      <w:proofErr w:type="spellStart"/>
      <w:r w:rsidRPr="00E40FB1">
        <w:rPr>
          <w:rFonts w:ascii="Titillium Web" w:eastAsia="Times New Roman" w:hAnsi="Titillium Web" w:cs="Times New Roman"/>
          <w:color w:val="333333"/>
          <w:sz w:val="21"/>
          <w:szCs w:val="21"/>
          <w:lang w:eastAsia="en-GB"/>
        </w:rPr>
        <w:t>Fiqh</w:t>
      </w:r>
      <w:proofErr w:type="spellEnd"/>
      <w:r w:rsidRPr="00E40FB1">
        <w:rPr>
          <w:rFonts w:ascii="Titillium Web" w:eastAsia="Times New Roman" w:hAnsi="Titillium Web" w:cs="Times New Roman"/>
          <w:color w:val="333333"/>
          <w:sz w:val="21"/>
          <w:szCs w:val="21"/>
          <w:lang w:eastAsia="en-GB"/>
        </w:rPr>
        <w:t xml:space="preserve"> therefore the easiest way for a person is just to ask them and to act upon the guidance. If they do not act upon the guidance then it becomes a proof against them.</w:t>
      </w:r>
    </w:p>
    <w:p w14:paraId="4496AF41" w14:textId="77777777" w:rsidR="00E40FB1" w:rsidRPr="00E40FB1" w:rsidRDefault="00E40FB1" w:rsidP="00E40FB1">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E40FB1">
        <w:rPr>
          <w:rFonts w:ascii="Titillium Web" w:eastAsia="Times New Roman" w:hAnsi="Titillium Web" w:cs="Times New Roman"/>
          <w:color w:val="333333"/>
          <w:sz w:val="21"/>
          <w:szCs w:val="21"/>
          <w:lang w:eastAsia="en-GB"/>
        </w:rPr>
        <w:t>For example if a common person goes to a scholar enquiring about a particular issue that he is not sure about i.e. how to make ablution, the role of the Scholar, then, will be to present him with the correct solution. The person then should go and do ablution as he has been shown. However, if he does not act upon the opinion of the scholar and does not make ablution then he will not become pure at all.</w:t>
      </w:r>
    </w:p>
    <w:p w14:paraId="63CE2774" w14:textId="77777777" w:rsidR="00E40FB1" w:rsidRPr="00E40FB1" w:rsidRDefault="00E40FB1" w:rsidP="00E40FB1">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E40FB1">
        <w:rPr>
          <w:rFonts w:ascii="Titillium Web" w:eastAsia="Times New Roman" w:hAnsi="Titillium Web" w:cs="Times New Roman"/>
          <w:color w:val="333333"/>
          <w:sz w:val="21"/>
          <w:szCs w:val="21"/>
          <w:lang w:eastAsia="en-GB"/>
        </w:rPr>
        <w:t>Similarly in the path of self-purification (</w:t>
      </w:r>
      <w:proofErr w:type="spellStart"/>
      <w:r w:rsidRPr="00E40FB1">
        <w:rPr>
          <w:rFonts w:ascii="Titillium Web" w:eastAsia="Times New Roman" w:hAnsi="Titillium Web" w:cs="Times New Roman"/>
          <w:color w:val="333333"/>
          <w:sz w:val="21"/>
          <w:szCs w:val="21"/>
          <w:lang w:eastAsia="en-GB"/>
        </w:rPr>
        <w:t>Tareeqah</w:t>
      </w:r>
      <w:proofErr w:type="spellEnd"/>
      <w:r w:rsidRPr="00E40FB1">
        <w:rPr>
          <w:rFonts w:ascii="Titillium Web" w:eastAsia="Times New Roman" w:hAnsi="Titillium Web" w:cs="Times New Roman"/>
          <w:color w:val="333333"/>
          <w:sz w:val="21"/>
          <w:szCs w:val="21"/>
          <w:lang w:eastAsia="en-GB"/>
        </w:rPr>
        <w:t xml:space="preserve">) the easiest way forward is just to follow a guide and Murshid because here we are dealing with the rules regarding inner-purification which are even more complex. Therefore one needs more diligence. The seeker’s duty only remains to present their state to the spiritual guide or Shaykh. The Shaykh’s duty is then to prescribe him the solution. The seeker then should just act upon it. It is as simple as that. After a while the seeker should gradually try and learn some background to the </w:t>
      </w:r>
      <w:proofErr w:type="spellStart"/>
      <w:r w:rsidRPr="00E40FB1">
        <w:rPr>
          <w:rFonts w:ascii="Titillium Web" w:eastAsia="Times New Roman" w:hAnsi="Titillium Web" w:cs="Times New Roman"/>
          <w:color w:val="333333"/>
          <w:sz w:val="21"/>
          <w:szCs w:val="21"/>
          <w:lang w:eastAsia="en-GB"/>
        </w:rPr>
        <w:t>masaa’il</w:t>
      </w:r>
      <w:proofErr w:type="spellEnd"/>
      <w:r w:rsidRPr="00E40FB1">
        <w:rPr>
          <w:rFonts w:ascii="Titillium Web" w:eastAsia="Times New Roman" w:hAnsi="Titillium Web" w:cs="Times New Roman"/>
          <w:color w:val="333333"/>
          <w:sz w:val="21"/>
          <w:szCs w:val="21"/>
          <w:lang w:eastAsia="en-GB"/>
        </w:rPr>
        <w:t xml:space="preserve"> of </w:t>
      </w:r>
      <w:proofErr w:type="spellStart"/>
      <w:r w:rsidRPr="00E40FB1">
        <w:rPr>
          <w:rFonts w:ascii="Titillium Web" w:eastAsia="Times New Roman" w:hAnsi="Titillium Web" w:cs="Times New Roman"/>
          <w:color w:val="333333"/>
          <w:sz w:val="21"/>
          <w:szCs w:val="21"/>
          <w:lang w:eastAsia="en-GB"/>
        </w:rPr>
        <w:t>Tareeqah</w:t>
      </w:r>
      <w:proofErr w:type="spellEnd"/>
      <w:r w:rsidRPr="00E40FB1">
        <w:rPr>
          <w:rFonts w:ascii="Titillium Web" w:eastAsia="Times New Roman" w:hAnsi="Titillium Web" w:cs="Times New Roman"/>
          <w:color w:val="333333"/>
          <w:sz w:val="21"/>
          <w:szCs w:val="21"/>
          <w:lang w:eastAsia="en-GB"/>
        </w:rPr>
        <w:t>.</w:t>
      </w:r>
    </w:p>
    <w:p w14:paraId="76CC7AFC" w14:textId="77777777" w:rsidR="00E40FB1" w:rsidRPr="00E40FB1" w:rsidRDefault="00E40FB1" w:rsidP="00E40FB1">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E40FB1">
        <w:rPr>
          <w:rFonts w:ascii="Titillium Web" w:eastAsia="Times New Roman" w:hAnsi="Titillium Web" w:cs="Times New Roman"/>
          <w:color w:val="333333"/>
          <w:sz w:val="21"/>
          <w:szCs w:val="21"/>
          <w:lang w:eastAsia="en-GB"/>
        </w:rPr>
        <w:t xml:space="preserve">In the beginning a person has no idea therefore he has no option except just to follow what he has been instructed, whether he understands or not. This is the principle of every science. When a </w:t>
      </w:r>
      <w:r w:rsidRPr="00E40FB1">
        <w:rPr>
          <w:rFonts w:ascii="Titillium Web" w:eastAsia="Times New Roman" w:hAnsi="Titillium Web" w:cs="Times New Roman"/>
          <w:color w:val="333333"/>
          <w:sz w:val="21"/>
          <w:szCs w:val="21"/>
          <w:lang w:eastAsia="en-GB"/>
        </w:rPr>
        <w:lastRenderedPageBreak/>
        <w:t>student begins any science he just has to follow the teacher up to a certain level. After that he will slowly begin to understand the reason and purpose of the teachings as well.</w:t>
      </w:r>
    </w:p>
    <w:p w14:paraId="1D96FA54" w14:textId="77777777" w:rsidR="00E40FB1" w:rsidRPr="00E40FB1" w:rsidRDefault="00E40FB1" w:rsidP="00E40FB1">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E40FB1">
        <w:rPr>
          <w:rFonts w:ascii="Titillium Web" w:eastAsia="Times New Roman" w:hAnsi="Titillium Web" w:cs="Times New Roman"/>
          <w:color w:val="333333"/>
          <w:sz w:val="21"/>
          <w:szCs w:val="21"/>
          <w:lang w:eastAsia="en-GB"/>
        </w:rPr>
        <w:t xml:space="preserve">If a person is aware of the basics such as the </w:t>
      </w:r>
      <w:proofErr w:type="spellStart"/>
      <w:r w:rsidRPr="00E40FB1">
        <w:rPr>
          <w:rFonts w:ascii="Titillium Web" w:eastAsia="Times New Roman" w:hAnsi="Titillium Web" w:cs="Times New Roman"/>
          <w:color w:val="333333"/>
          <w:sz w:val="21"/>
          <w:szCs w:val="21"/>
          <w:lang w:eastAsia="en-GB"/>
        </w:rPr>
        <w:t>Fard</w:t>
      </w:r>
      <w:proofErr w:type="spellEnd"/>
      <w:r w:rsidRPr="00E40FB1">
        <w:rPr>
          <w:rFonts w:ascii="Titillium Web" w:eastAsia="Times New Roman" w:hAnsi="Titillium Web" w:cs="Times New Roman"/>
          <w:color w:val="333333"/>
          <w:sz w:val="21"/>
          <w:szCs w:val="21"/>
          <w:lang w:eastAsia="en-GB"/>
        </w:rPr>
        <w:t xml:space="preserve">, </w:t>
      </w:r>
      <w:proofErr w:type="spellStart"/>
      <w:r w:rsidRPr="00E40FB1">
        <w:rPr>
          <w:rFonts w:ascii="Titillium Web" w:eastAsia="Times New Roman" w:hAnsi="Titillium Web" w:cs="Times New Roman"/>
          <w:color w:val="333333"/>
          <w:sz w:val="21"/>
          <w:szCs w:val="21"/>
          <w:lang w:eastAsia="en-GB"/>
        </w:rPr>
        <w:t>Wajib</w:t>
      </w:r>
      <w:proofErr w:type="spellEnd"/>
      <w:r w:rsidRPr="00E40FB1">
        <w:rPr>
          <w:rFonts w:ascii="Titillium Web" w:eastAsia="Times New Roman" w:hAnsi="Titillium Web" w:cs="Times New Roman"/>
          <w:color w:val="333333"/>
          <w:sz w:val="21"/>
          <w:szCs w:val="21"/>
          <w:lang w:eastAsia="en-GB"/>
        </w:rPr>
        <w:t xml:space="preserve">, Mustahab etc then this is helpful. For example if he knows the </w:t>
      </w:r>
      <w:proofErr w:type="spellStart"/>
      <w:r w:rsidRPr="00E40FB1">
        <w:rPr>
          <w:rFonts w:ascii="Titillium Web" w:eastAsia="Times New Roman" w:hAnsi="Titillium Web" w:cs="Times New Roman"/>
          <w:color w:val="333333"/>
          <w:sz w:val="21"/>
          <w:szCs w:val="21"/>
          <w:lang w:eastAsia="en-GB"/>
        </w:rPr>
        <w:t>Fard</w:t>
      </w:r>
      <w:proofErr w:type="spellEnd"/>
      <w:r w:rsidRPr="00E40FB1">
        <w:rPr>
          <w:rFonts w:ascii="Titillium Web" w:eastAsia="Times New Roman" w:hAnsi="Titillium Web" w:cs="Times New Roman"/>
          <w:color w:val="333333"/>
          <w:sz w:val="21"/>
          <w:szCs w:val="21"/>
          <w:lang w:eastAsia="en-GB"/>
        </w:rPr>
        <w:t xml:space="preserve"> or </w:t>
      </w:r>
      <w:proofErr w:type="spellStart"/>
      <w:r w:rsidRPr="00E40FB1">
        <w:rPr>
          <w:rFonts w:ascii="Titillium Web" w:eastAsia="Times New Roman" w:hAnsi="Titillium Web" w:cs="Times New Roman"/>
          <w:color w:val="333333"/>
          <w:sz w:val="21"/>
          <w:szCs w:val="21"/>
          <w:lang w:eastAsia="en-GB"/>
        </w:rPr>
        <w:t>Wajib</w:t>
      </w:r>
      <w:proofErr w:type="spellEnd"/>
      <w:r w:rsidRPr="00E40FB1">
        <w:rPr>
          <w:rFonts w:ascii="Titillium Web" w:eastAsia="Times New Roman" w:hAnsi="Titillium Web" w:cs="Times New Roman"/>
          <w:color w:val="333333"/>
          <w:sz w:val="21"/>
          <w:szCs w:val="21"/>
          <w:lang w:eastAsia="en-GB"/>
        </w:rPr>
        <w:t xml:space="preserve"> of prayer then he can correct mistakes himself and does not need to go to the scholars to solve his problem. Similarly in the science of self-purification or </w:t>
      </w:r>
      <w:proofErr w:type="spellStart"/>
      <w:r w:rsidRPr="00E40FB1">
        <w:rPr>
          <w:rFonts w:ascii="Titillium Web" w:eastAsia="Times New Roman" w:hAnsi="Titillium Web" w:cs="Times New Roman"/>
          <w:color w:val="333333"/>
          <w:sz w:val="21"/>
          <w:szCs w:val="21"/>
          <w:lang w:eastAsia="en-GB"/>
        </w:rPr>
        <w:t>Tareeqah</w:t>
      </w:r>
      <w:proofErr w:type="spellEnd"/>
      <w:r w:rsidRPr="00E40FB1">
        <w:rPr>
          <w:rFonts w:ascii="Titillium Web" w:eastAsia="Times New Roman" w:hAnsi="Titillium Web" w:cs="Times New Roman"/>
          <w:color w:val="333333"/>
          <w:sz w:val="21"/>
          <w:szCs w:val="21"/>
          <w:lang w:eastAsia="en-GB"/>
        </w:rPr>
        <w:t xml:space="preserve"> there are also </w:t>
      </w:r>
      <w:proofErr w:type="spellStart"/>
      <w:r w:rsidRPr="00E40FB1">
        <w:rPr>
          <w:rFonts w:ascii="Titillium Web" w:eastAsia="Times New Roman" w:hAnsi="Titillium Web" w:cs="Times New Roman"/>
          <w:color w:val="333333"/>
          <w:sz w:val="21"/>
          <w:szCs w:val="21"/>
          <w:lang w:eastAsia="en-GB"/>
        </w:rPr>
        <w:t>masaa’il</w:t>
      </w:r>
      <w:proofErr w:type="spellEnd"/>
      <w:r w:rsidRPr="00E40FB1">
        <w:rPr>
          <w:rFonts w:ascii="Titillium Web" w:eastAsia="Times New Roman" w:hAnsi="Titillium Web" w:cs="Times New Roman"/>
          <w:color w:val="333333"/>
          <w:sz w:val="21"/>
          <w:szCs w:val="21"/>
          <w:lang w:eastAsia="en-GB"/>
        </w:rPr>
        <w:t xml:space="preserve"> which are known as the principles of the </w:t>
      </w:r>
      <w:proofErr w:type="spellStart"/>
      <w:r w:rsidRPr="00E40FB1">
        <w:rPr>
          <w:rFonts w:ascii="Titillium Web" w:eastAsia="Times New Roman" w:hAnsi="Titillium Web" w:cs="Times New Roman"/>
          <w:color w:val="333333"/>
          <w:sz w:val="21"/>
          <w:szCs w:val="21"/>
          <w:lang w:eastAsia="en-GB"/>
        </w:rPr>
        <w:t>Tareeqah</w:t>
      </w:r>
      <w:proofErr w:type="spellEnd"/>
      <w:r w:rsidRPr="00E40FB1">
        <w:rPr>
          <w:rFonts w:ascii="Titillium Web" w:eastAsia="Times New Roman" w:hAnsi="Titillium Web" w:cs="Times New Roman"/>
          <w:color w:val="333333"/>
          <w:sz w:val="21"/>
          <w:szCs w:val="21"/>
          <w:lang w:eastAsia="en-GB"/>
        </w:rPr>
        <w:t>. A seeker should know the basic principles so that he can solve problems for himself and for others, and so that he can become more self-sufficient to a certain level.</w:t>
      </w:r>
    </w:p>
    <w:p w14:paraId="440E27D5" w14:textId="77777777" w:rsidR="00E40FB1" w:rsidRPr="00E40FB1" w:rsidRDefault="00E40FB1" w:rsidP="00E40FB1">
      <w:pPr>
        <w:shd w:val="clear" w:color="auto" w:fill="E0DDE0"/>
        <w:spacing w:after="75" w:line="240" w:lineRule="auto"/>
        <w:textAlignment w:val="baseline"/>
        <w:rPr>
          <w:rFonts w:ascii="Titillium Web" w:eastAsia="Times New Roman" w:hAnsi="Titillium Web" w:cs="Times New Roman"/>
          <w:color w:val="333333"/>
          <w:sz w:val="21"/>
          <w:szCs w:val="21"/>
          <w:lang w:eastAsia="en-GB"/>
        </w:rPr>
      </w:pPr>
      <w:r w:rsidRPr="00E40FB1">
        <w:rPr>
          <w:rFonts w:ascii="Titillium Web" w:eastAsia="Times New Roman" w:hAnsi="Titillium Web" w:cs="Times New Roman"/>
          <w:color w:val="333333"/>
          <w:sz w:val="21"/>
          <w:szCs w:val="21"/>
          <w:lang w:eastAsia="en-GB"/>
        </w:rPr>
        <w:t xml:space="preserve">If a person is not aware of the principles, the means and exercises the seekers have to do, the effort that is required from them, then this person is on a path to destruction and will die in </w:t>
      </w:r>
      <w:proofErr w:type="spellStart"/>
      <w:r w:rsidRPr="00E40FB1">
        <w:rPr>
          <w:rFonts w:ascii="Titillium Web" w:eastAsia="Times New Roman" w:hAnsi="Titillium Web" w:cs="Times New Roman"/>
          <w:color w:val="333333"/>
          <w:sz w:val="21"/>
          <w:szCs w:val="21"/>
          <w:lang w:eastAsia="en-GB"/>
        </w:rPr>
        <w:t>jahiliyyat</w:t>
      </w:r>
      <w:proofErr w:type="spellEnd"/>
      <w:r w:rsidRPr="00E40FB1">
        <w:rPr>
          <w:rFonts w:ascii="Titillium Web" w:eastAsia="Times New Roman" w:hAnsi="Titillium Web" w:cs="Times New Roman"/>
          <w:color w:val="333333"/>
          <w:sz w:val="21"/>
          <w:szCs w:val="21"/>
          <w:lang w:eastAsia="en-GB"/>
        </w:rPr>
        <w:t xml:space="preserve"> [ignorance] by assuming and believing in other things which were not part of the objective or the goal. If you know the ins and outs of the </w:t>
      </w:r>
      <w:proofErr w:type="spellStart"/>
      <w:r w:rsidRPr="00E40FB1">
        <w:rPr>
          <w:rFonts w:ascii="Titillium Web" w:eastAsia="Times New Roman" w:hAnsi="Titillium Web" w:cs="Times New Roman"/>
          <w:color w:val="333333"/>
          <w:sz w:val="21"/>
          <w:szCs w:val="21"/>
          <w:lang w:eastAsia="en-GB"/>
        </w:rPr>
        <w:t>Tareeqah</w:t>
      </w:r>
      <w:proofErr w:type="spellEnd"/>
      <w:r w:rsidRPr="00E40FB1">
        <w:rPr>
          <w:rFonts w:ascii="Titillium Web" w:eastAsia="Times New Roman" w:hAnsi="Titillium Web" w:cs="Times New Roman"/>
          <w:color w:val="333333"/>
          <w:sz w:val="21"/>
          <w:szCs w:val="21"/>
          <w:lang w:eastAsia="en-GB"/>
        </w:rPr>
        <w:t xml:space="preserve">, states, means, objectives, etc you cannot be confused, even if </w:t>
      </w:r>
      <w:proofErr w:type="spellStart"/>
      <w:r w:rsidRPr="00E40FB1">
        <w:rPr>
          <w:rFonts w:ascii="Titillium Web" w:eastAsia="Times New Roman" w:hAnsi="Titillium Web" w:cs="Times New Roman"/>
          <w:color w:val="333333"/>
          <w:sz w:val="21"/>
          <w:szCs w:val="21"/>
          <w:lang w:eastAsia="en-GB"/>
        </w:rPr>
        <w:t>Shaitaan</w:t>
      </w:r>
      <w:proofErr w:type="spellEnd"/>
      <w:r w:rsidRPr="00E40FB1">
        <w:rPr>
          <w:rFonts w:ascii="Titillium Web" w:eastAsia="Times New Roman" w:hAnsi="Titillium Web" w:cs="Times New Roman"/>
          <w:color w:val="333333"/>
          <w:sz w:val="21"/>
          <w:szCs w:val="21"/>
          <w:lang w:eastAsia="en-GB"/>
        </w:rPr>
        <w:t xml:space="preserve"> comes to you in a dream and says he is God or a Saint.</w:t>
      </w:r>
    </w:p>
    <w:p w14:paraId="5846CD58" w14:textId="77777777" w:rsidR="00314119" w:rsidRDefault="00314119"/>
    <w:sectPr w:rsidR="003141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tillium Web">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FB1"/>
    <w:rsid w:val="00112BE7"/>
    <w:rsid w:val="00314119"/>
    <w:rsid w:val="009032CB"/>
    <w:rsid w:val="00AE5822"/>
    <w:rsid w:val="00E40F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0E98E"/>
  <w15:chartTrackingRefBased/>
  <w15:docId w15:val="{454CA9FD-D731-4245-A78D-99D044712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9457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792</Words>
  <Characters>4521</Characters>
  <Application>Microsoft Office Word</Application>
  <DocSecurity>0</DocSecurity>
  <Lines>37</Lines>
  <Paragraphs>10</Paragraphs>
  <ScaleCrop>false</ScaleCrop>
  <Company/>
  <LinksUpToDate>false</LinksUpToDate>
  <CharactersWithSpaces>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 Look Blinds</dc:creator>
  <cp:keywords/>
  <dc:description/>
  <cp:lastModifiedBy>New Look Blinds</cp:lastModifiedBy>
  <cp:revision>1</cp:revision>
  <dcterms:created xsi:type="dcterms:W3CDTF">2020-02-09T23:15:00Z</dcterms:created>
  <dcterms:modified xsi:type="dcterms:W3CDTF">2020-02-09T23:17:00Z</dcterms:modified>
</cp:coreProperties>
</file>